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D" w:rsidRPr="002D76BD" w:rsidRDefault="002D76BD" w:rsidP="002D76BD"/>
    <w:p w:rsidR="00084EEA" w:rsidRDefault="00084EEA" w:rsidP="00084EEA">
      <w:pPr>
        <w:spacing w:line="294" w:lineRule="atLeast"/>
        <w:ind w:left="-70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Относительные показатели состояния основных фондов</w:t>
      </w:r>
    </w:p>
    <w:p w:rsidR="00084EEA" w:rsidRDefault="00084EEA" w:rsidP="00084EEA">
      <w:pPr>
        <w:spacing w:after="120"/>
        <w:jc w:val="right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4251"/>
      </w:tblGrid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Default="00084EE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EA" w:rsidRDefault="00084EE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 w:rsidP="00605280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Изменение стоимости основных фондов в сопоставимых ценах,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05280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EEA" w:rsidRDefault="00084EEA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полной стоимости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 w:rsidP="00A56234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106,</w:t>
            </w:r>
            <w:r w:rsidR="00A56234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остаточной стоимости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484AE6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104,0</w:t>
            </w: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Коэффициент обновления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EEA" w:rsidRDefault="00084EEA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(ввод в действие основных фондов в процентах от общей стоимости основных фондов на конец года)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4,8</w:t>
            </w: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Коэффициент выбытия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EEA" w:rsidRDefault="00084EEA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(ликвидация основных фондов в процентах от общей </w:t>
            </w:r>
            <w:r>
              <w:rPr>
                <w:rFonts w:ascii="Times New Roman" w:hAnsi="Times New Roman"/>
              </w:rPr>
              <w:br/>
              <w:t>стоимости основных фондов на начало года)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484AE6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0,4</w:t>
            </w: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Соотношение прочего поступлен</w:t>
            </w:r>
            <w:r w:rsidR="00605280">
              <w:rPr>
                <w:rFonts w:ascii="Times New Roman" w:hAnsi="Times New Roman"/>
              </w:rPr>
              <w:t>ия к прочему выбытию в %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137,6</w:t>
            </w: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Степень износа основных ф</w:t>
            </w:r>
            <w:r w:rsidR="00605280">
              <w:rPr>
                <w:rFonts w:ascii="Times New Roman" w:hAnsi="Times New Roman"/>
              </w:rPr>
              <w:t>ондов, на начало года, %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28,6</w:t>
            </w: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 w:rsidP="00605280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Степень износа основных фондов, на конец года, </w:t>
            </w:r>
            <w:r w:rsidR="00605280">
              <w:rPr>
                <w:rFonts w:ascii="Times New Roman" w:hAnsi="Times New Roman"/>
              </w:rPr>
              <w:t>%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30,2</w:t>
            </w:r>
          </w:p>
        </w:tc>
      </w:tr>
    </w:tbl>
    <w:p w:rsidR="002D76BD" w:rsidRDefault="002D76BD" w:rsidP="002D76BD"/>
    <w:p w:rsidR="00AC4E94" w:rsidRPr="002D76BD" w:rsidRDefault="00AC4E94" w:rsidP="002D76BD">
      <w:pPr>
        <w:jc w:val="center"/>
      </w:pPr>
    </w:p>
    <w:sectPr w:rsidR="00AC4E94" w:rsidRPr="002D76BD" w:rsidSect="00084EEA">
      <w:footerReference w:type="default" r:id="rId7"/>
      <w:pgSz w:w="11906" w:h="16838"/>
      <w:pgMar w:top="1134" w:right="850" w:bottom="1134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2A" w:rsidRDefault="0032452A" w:rsidP="002D76BD">
      <w:pPr>
        <w:spacing w:after="0" w:line="240" w:lineRule="auto"/>
      </w:pPr>
      <w:r>
        <w:separator/>
      </w:r>
    </w:p>
  </w:endnote>
  <w:endnote w:type="continuationSeparator" w:id="0">
    <w:p w:rsidR="0032452A" w:rsidRDefault="0032452A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3686"/>
      <w:gridCol w:w="2410"/>
      <w:gridCol w:w="3969"/>
    </w:tblGrid>
    <w:tr w:rsidR="002D76BD" w:rsidTr="00084EEA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241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96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084EEA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2410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96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084EEA">
      <w:trPr>
        <w:trHeight w:val="332"/>
      </w:trPr>
      <w:tc>
        <w:tcPr>
          <w:tcW w:w="1006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2A" w:rsidRDefault="0032452A" w:rsidP="002D76BD">
      <w:pPr>
        <w:spacing w:after="0" w:line="240" w:lineRule="auto"/>
      </w:pPr>
      <w:r>
        <w:separator/>
      </w:r>
    </w:p>
  </w:footnote>
  <w:footnote w:type="continuationSeparator" w:id="0">
    <w:p w:rsidR="0032452A" w:rsidRDefault="0032452A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084EEA"/>
    <w:rsid w:val="000D5955"/>
    <w:rsid w:val="00104330"/>
    <w:rsid w:val="0026174A"/>
    <w:rsid w:val="002D76BD"/>
    <w:rsid w:val="0032452A"/>
    <w:rsid w:val="00484AE6"/>
    <w:rsid w:val="005061ED"/>
    <w:rsid w:val="005670E7"/>
    <w:rsid w:val="00605280"/>
    <w:rsid w:val="0065339B"/>
    <w:rsid w:val="007302C6"/>
    <w:rsid w:val="007B1D67"/>
    <w:rsid w:val="007D71E1"/>
    <w:rsid w:val="008A6E57"/>
    <w:rsid w:val="008C10C6"/>
    <w:rsid w:val="00941490"/>
    <w:rsid w:val="009828A0"/>
    <w:rsid w:val="009F13CE"/>
    <w:rsid w:val="00A56234"/>
    <w:rsid w:val="00AC4E94"/>
    <w:rsid w:val="00B33B33"/>
    <w:rsid w:val="00BD68BA"/>
    <w:rsid w:val="00CE455F"/>
    <w:rsid w:val="00EE18F8"/>
    <w:rsid w:val="00F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1"/>
  </w:style>
  <w:style w:type="paragraph" w:styleId="2">
    <w:name w:val="heading 2"/>
    <w:basedOn w:val="a"/>
    <w:next w:val="a"/>
    <w:link w:val="20"/>
    <w:unhideWhenUsed/>
    <w:qFormat/>
    <w:rsid w:val="00084EEA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4EEA"/>
    <w:rPr>
      <w:rFonts w:ascii="Arial" w:eastAsia="Times New Roman" w:hAnsi="Arial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Вилугина Оксана Рудольфовна</cp:lastModifiedBy>
  <cp:revision>6</cp:revision>
  <cp:lastPrinted>2021-11-26T13:02:00Z</cp:lastPrinted>
  <dcterms:created xsi:type="dcterms:W3CDTF">2021-11-26T13:04:00Z</dcterms:created>
  <dcterms:modified xsi:type="dcterms:W3CDTF">2021-11-29T09:16:00Z</dcterms:modified>
</cp:coreProperties>
</file>